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45CB" w14:textId="77777777" w:rsidR="009831A7" w:rsidRDefault="009831A7" w:rsidP="009831A7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474364D2" w14:textId="77777777" w:rsidR="009831A7" w:rsidRDefault="009831A7" w:rsidP="009831A7">
      <w:pPr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7F7FB197" w14:textId="77777777" w:rsidR="009831A7" w:rsidRDefault="009831A7" w:rsidP="009831A7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  <w:t>白鹅潭大湾</w:t>
      </w:r>
      <w:proofErr w:type="gramEnd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  <w:t>区艺术中心负一层公共服务区社会力量合作运营项目评审评分表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930"/>
        <w:gridCol w:w="4485"/>
        <w:gridCol w:w="2091"/>
      </w:tblGrid>
      <w:tr w:rsidR="009831A7" w14:paraId="38614A85" w14:textId="77777777" w:rsidTr="00857907">
        <w:trPr>
          <w:trHeight w:val="387"/>
        </w:trPr>
        <w:tc>
          <w:tcPr>
            <w:tcW w:w="173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DDDF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jc w:val="center"/>
              <w:rPr>
                <w:rFonts w:ascii="方正公文黑体" w:eastAsia="方正公文黑体" w:hAnsi="方正公文黑体" w:cs="方正公文黑体" w:hint="eastAsia"/>
              </w:rPr>
            </w:pPr>
            <w:r>
              <w:rPr>
                <w:rFonts w:ascii="方正公文黑体" w:eastAsia="方正公文黑体" w:hAnsi="方正公文黑体" w:cs="方正公文黑体" w:hint="eastAsia"/>
                <w:b/>
                <w:bCs/>
                <w:color w:val="000000"/>
              </w:rPr>
              <w:t>评分项目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A322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公文黑体" w:eastAsia="方正公文黑体" w:hAnsi="方正公文黑体" w:cs="方正公文黑体" w:hint="eastAsia"/>
              </w:rPr>
            </w:pPr>
            <w:r>
              <w:rPr>
                <w:rFonts w:ascii="方正公文黑体" w:eastAsia="方正公文黑体" w:hAnsi="方正公文黑体" w:cs="方正公文黑体" w:hint="eastAsia"/>
                <w:b/>
                <w:bCs/>
                <w:color w:val="000000"/>
              </w:rPr>
              <w:t>分值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1123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jc w:val="center"/>
              <w:rPr>
                <w:rFonts w:ascii="方正公文黑体" w:eastAsia="方正公文黑体" w:hAnsi="方正公文黑体" w:cs="方正公文黑体" w:hint="eastAsia"/>
              </w:rPr>
            </w:pPr>
            <w:r>
              <w:rPr>
                <w:rFonts w:ascii="方正公文黑体" w:eastAsia="方正公文黑体" w:hAnsi="方正公文黑体" w:cs="方正公文黑体" w:hint="eastAsia"/>
                <w:b/>
                <w:bCs/>
                <w:color w:val="000000"/>
              </w:rPr>
              <w:t>评分细则</w:t>
            </w: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57FC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公文黑体" w:eastAsia="方正公文黑体" w:hAnsi="方正公文黑体" w:cs="方正公文黑体" w:hint="eastAsia"/>
              </w:rPr>
            </w:pPr>
            <w:r>
              <w:rPr>
                <w:rFonts w:ascii="方正公文黑体" w:eastAsia="方正公文黑体" w:hAnsi="方正公文黑体" w:cs="方正公文黑体" w:hint="eastAsia"/>
                <w:b/>
                <w:bCs/>
                <w:color w:val="000000"/>
              </w:rPr>
              <w:t>评分依据</w:t>
            </w:r>
          </w:p>
        </w:tc>
      </w:tr>
      <w:tr w:rsidR="009831A7" w14:paraId="5BBB1C04" w14:textId="77777777" w:rsidTr="00857907">
        <w:trPr>
          <w:trHeight w:val="774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4A058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</w:rPr>
              <w:t>一、企业综合实力 （21分）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0326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7E9B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C3D3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831A7" w14:paraId="27C0EB55" w14:textId="77777777" w:rsidTr="00857907">
        <w:trPr>
          <w:trHeight w:val="1631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9F4B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1.1 企业资质与信誉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D1EA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5分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FDC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1.企业注册合法有效，具备独立法人资格（2分）</w:t>
            </w:r>
          </w:p>
          <w:p w14:paraId="1659F025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2.提供近三年无重大违法违规记录及不良信用记录的声明或证明（3分）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67CD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营业执照副本、信用报告、声明函</w:t>
            </w:r>
          </w:p>
        </w:tc>
      </w:tr>
      <w:tr w:rsidR="009831A7" w14:paraId="52989FFD" w14:textId="77777777" w:rsidTr="00857907">
        <w:trPr>
          <w:trHeight w:val="1777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D6C6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1.2 财务状况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3AEE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6分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7D7F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1.提供近两年经审计的财务报表或银行资信证明（3分）</w:t>
            </w:r>
          </w:p>
          <w:p w14:paraId="56046473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2.财务状况良好，具备履行合同的资金能力（3分）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7E87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审计报告/资信证明、财务报表摘要</w:t>
            </w:r>
          </w:p>
        </w:tc>
      </w:tr>
      <w:tr w:rsidR="009831A7" w14:paraId="4E6CC65E" w14:textId="77777777" w:rsidTr="00857907">
        <w:trPr>
          <w:trHeight w:val="2843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876D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1.3 相关业绩经验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2FB9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10分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9EDA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1.提供近三年内（2022年10月至今）≥2个类似项目（文化场馆、商业综合体、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文旅项目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、公共空间等）运营管理合同关键页及运营成果证明（如验收报告、客户评价、照片）（8分）</w:t>
            </w:r>
          </w:p>
          <w:p w14:paraId="1AAFF873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2.成功项目规模及影响力（每个项目1分，最高2分）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12CA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合同关键页（含甲乙方、项目内容、金额、签字盖章页）、成果证明文件</w:t>
            </w:r>
          </w:p>
        </w:tc>
      </w:tr>
      <w:tr w:rsidR="009831A7" w14:paraId="455C2561" w14:textId="77777777" w:rsidTr="00857907">
        <w:trPr>
          <w:trHeight w:val="774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EF12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</w:rPr>
              <w:t>二、运营方案 （53分）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6719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F096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A7C7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831A7" w14:paraId="625F239F" w14:textId="77777777" w:rsidTr="00857907">
        <w:trPr>
          <w:trHeight w:val="219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DAE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2.1 定位与业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态规划</w:t>
            </w:r>
            <w:proofErr w:type="gram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692C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16分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78B4" w14:textId="77777777" w:rsidR="009831A7" w:rsidRDefault="009831A7" w:rsidP="00857907">
            <w:pPr>
              <w:pStyle w:val="ae"/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业态布局符合公共文化服务定位，体现湾区文化特色（7分）</w:t>
            </w:r>
          </w:p>
          <w:p w14:paraId="5BDA6250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2.空间规划合理，满足应急疏散要求，动线设计科学（5分）</w:t>
            </w:r>
          </w:p>
          <w:p w14:paraId="63FA777E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3.品牌引进策略清晰，符合项目调性（4分）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1436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运营方案书（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含业态规划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图、品牌清单、动线设计图）</w:t>
            </w:r>
          </w:p>
        </w:tc>
      </w:tr>
      <w:tr w:rsidR="009831A7" w14:paraId="413DBB1C" w14:textId="77777777" w:rsidTr="00857907">
        <w:trPr>
          <w:trHeight w:val="2295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79F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lastRenderedPageBreak/>
              <w:t>2.2 服务与质量管理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74C3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13分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1EB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1.服务标准、流程、人员培训方案完善（5分）</w:t>
            </w:r>
          </w:p>
          <w:p w14:paraId="762BAC4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2.应急预案（安全、消防、客诉、公共卫生）完备可行（5分）</w:t>
            </w:r>
          </w:p>
          <w:p w14:paraId="047CAB7C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3.群众满意度提升措施具体（3分）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7469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服务管理制度、应急预案文件、满意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度保障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措施</w:t>
            </w:r>
          </w:p>
        </w:tc>
      </w:tr>
      <w:tr w:rsidR="009831A7" w14:paraId="005334CD" w14:textId="77777777" w:rsidTr="00857907">
        <w:trPr>
          <w:trHeight w:val="2197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E847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2.3 营销推广策略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D418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12分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7091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1.年度营销计划与预算合理（4分）</w:t>
            </w:r>
          </w:p>
          <w:p w14:paraId="7A7A27F7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2.线上线下推广渠道创新性及有效性（4分）</w:t>
            </w:r>
          </w:p>
          <w:p w14:paraId="3B5C1EE6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3.与艺术中心整体活动联动方案（4分）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343F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营销推广方案、预算表、联动计划</w:t>
            </w:r>
          </w:p>
        </w:tc>
      </w:tr>
      <w:tr w:rsidR="009831A7" w14:paraId="4AF0847E" w14:textId="77777777" w:rsidTr="00857907">
        <w:trPr>
          <w:trHeight w:val="2633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3CC5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2.4 创新性与文化融合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100E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13分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E407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1.运营模式或服务内容有创新亮点（4分）</w:t>
            </w:r>
          </w:p>
          <w:p w14:paraId="1B559EA9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2.深度融入湾区文化元素（如岭南文化、当代艺术等）（6分）</w:t>
            </w:r>
          </w:p>
          <w:p w14:paraId="3EB48320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3.公益属性体现（如惠民活动、文化普及）（3分）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3246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创新点说明、文化融合方案、公益活动计划</w:t>
            </w:r>
          </w:p>
        </w:tc>
      </w:tr>
      <w:tr w:rsidR="009831A7" w14:paraId="68058ADC" w14:textId="77777777" w:rsidTr="00857907">
        <w:trPr>
          <w:trHeight w:val="774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02E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</w:rPr>
              <w:t>三、财务方案 （17分）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C65A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22AC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C7E5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831A7" w14:paraId="1435B0C7" w14:textId="77777777" w:rsidTr="00857907">
        <w:trPr>
          <w:trHeight w:val="185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FEB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3.1 营业额分成比例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FEA2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</w:rPr>
              <w:t>1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0分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4C0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</w:rPr>
              <w:t>在最低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承诺15%</w:t>
            </w:r>
            <w:r>
              <w:rPr>
                <w:rFonts w:ascii="方正仿宋_GB2312" w:eastAsia="方正仿宋_GB2312" w:hAnsi="方正仿宋_GB2312" w:cs="方正仿宋_GB2312"/>
                <w:color w:val="000000"/>
              </w:rPr>
              <w:t>的基础上，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每提高1%加</w:t>
            </w:r>
            <w:r>
              <w:rPr>
                <w:rFonts w:ascii="方正仿宋_GB2312" w:eastAsia="方正仿宋_GB2312" w:hAnsi="方正仿宋_GB2312" w:cs="方正仿宋_GB2312"/>
                <w:color w:val="000000"/>
              </w:rPr>
              <w:t>1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分，最高加至</w:t>
            </w:r>
            <w:r>
              <w:rPr>
                <w:rFonts w:ascii="方正仿宋_GB2312" w:eastAsia="方正仿宋_GB2312" w:hAnsi="方正仿宋_GB2312" w:cs="方正仿宋_GB2312"/>
                <w:color w:val="000000"/>
              </w:rPr>
              <w:t>1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0分（例：承诺</w:t>
            </w:r>
            <w:r>
              <w:rPr>
                <w:rFonts w:ascii="方正仿宋_GB2312" w:eastAsia="方正仿宋_GB2312" w:hAnsi="方正仿宋_GB2312" w:cs="方正仿宋_GB2312"/>
                <w:color w:val="000000"/>
              </w:rPr>
              <w:t>25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%得20分）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1403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《分成比例承诺函》</w:t>
            </w:r>
          </w:p>
        </w:tc>
      </w:tr>
      <w:tr w:rsidR="009831A7" w14:paraId="7A813189" w14:textId="77777777" w:rsidTr="00857907">
        <w:trPr>
          <w:trHeight w:val="255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752B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3.2 年度保底承诺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D947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/>
              </w:rPr>
              <w:t>3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2693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</w:rPr>
              <w:t>在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首年</w:t>
            </w:r>
            <w:r>
              <w:rPr>
                <w:rFonts w:ascii="方正仿宋_GB2312" w:eastAsia="方正仿宋_GB2312" w:hAnsi="方正仿宋_GB2312" w:cs="方正仿宋_GB2312"/>
                <w:color w:val="000000"/>
              </w:rPr>
              <w:t>最低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承诺年度保底金额70%</w:t>
            </w:r>
            <w:r>
              <w:rPr>
                <w:rFonts w:ascii="方正仿宋_GB2312" w:eastAsia="方正仿宋_GB2312" w:hAnsi="方正仿宋_GB2312" w:cs="方正仿宋_GB2312"/>
                <w:color w:val="000000"/>
              </w:rPr>
              <w:t>，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即70.56万元</w:t>
            </w:r>
            <w:r>
              <w:rPr>
                <w:rFonts w:ascii="方正仿宋_GB2312" w:eastAsia="方正仿宋_GB2312" w:hAnsi="方正仿宋_GB2312" w:cs="方正仿宋_GB2312"/>
                <w:color w:val="000000"/>
              </w:rPr>
              <w:t>的基础上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（</w:t>
            </w:r>
            <w:r>
              <w:rPr>
                <w:rFonts w:ascii="方正仿宋_GB2312" w:eastAsia="方正仿宋_GB2312" w:hAnsi="方正仿宋_GB2312" w:cs="方正仿宋_GB2312"/>
                <w:color w:val="000000"/>
              </w:rPr>
              <w:t>需提供承诺书，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如无承诺书，则为资料不全，不予评审）</w:t>
            </w:r>
          </w:p>
          <w:p w14:paraId="132AAE92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提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出首年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保底额每提高10%加1分，最高加至</w:t>
            </w:r>
            <w:r>
              <w:rPr>
                <w:rFonts w:ascii="方正仿宋_GB2312" w:eastAsia="方正仿宋_GB2312" w:hAnsi="方正仿宋_GB2312" w:cs="方正仿宋_GB2312"/>
                <w:color w:val="000000"/>
              </w:rPr>
              <w:t>3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分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D05B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《年度保底承诺函》</w:t>
            </w:r>
          </w:p>
        </w:tc>
      </w:tr>
      <w:tr w:rsidR="009831A7" w14:paraId="19AA0D9C" w14:textId="77777777" w:rsidTr="00857907">
        <w:trPr>
          <w:trHeight w:val="1792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45FC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lastRenderedPageBreak/>
              <w:t>3.3 财务可行性分析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C013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4分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3F1E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1.营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收预测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合理，成本控制措施有效（2分）</w:t>
            </w:r>
          </w:p>
          <w:p w14:paraId="47222DCD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2.资金投入计划与现金流管理方案清晰（2分）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EB6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财务预测表（营收/成本/现金流）、资金计划</w:t>
            </w:r>
          </w:p>
        </w:tc>
      </w:tr>
      <w:tr w:rsidR="009831A7" w14:paraId="5A4AC336" w14:textId="77777777" w:rsidTr="00857907">
        <w:trPr>
          <w:trHeight w:val="116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C89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</w:rPr>
              <w:t>四、现场陈述与答辩 （6分）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A45E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7261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D0FA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831A7" w14:paraId="63D6CA43" w14:textId="77777777" w:rsidTr="00857907">
        <w:trPr>
          <w:trHeight w:val="1405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D7E5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4.1 方案陈述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2789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4分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8738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1.逻辑清晰，重点突出，完整反映方案亮点（2分）</w:t>
            </w:r>
          </w:p>
          <w:p w14:paraId="0C8F2329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2.团队专业素养（2分）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9360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现场陈述表现</w:t>
            </w:r>
          </w:p>
        </w:tc>
      </w:tr>
      <w:tr w:rsidR="009831A7" w14:paraId="6BE1C321" w14:textId="77777777" w:rsidTr="00857907">
        <w:trPr>
          <w:trHeight w:val="1102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6294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4.2 答辩表现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935F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618E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1.回答问题准确、专业（1分）</w:t>
            </w:r>
          </w:p>
          <w:p w14:paraId="0969475A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2.应对灵活，解决方案务实（1分）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F51B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专家提问环节表现</w:t>
            </w:r>
          </w:p>
        </w:tc>
      </w:tr>
      <w:tr w:rsidR="009831A7" w14:paraId="006242C7" w14:textId="77777777" w:rsidTr="00857907">
        <w:trPr>
          <w:trHeight w:val="774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BD47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</w:rPr>
              <w:t>五、特色加分项 （3分）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2308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ECBB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A179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831A7" w14:paraId="3CB09554" w14:textId="77777777" w:rsidTr="00857907">
        <w:trPr>
          <w:trHeight w:val="1317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7906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5.1 社会责任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C5E1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23C7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提供残疾人就业、本地农产品采购等社会责任计划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575F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方案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书相关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章节</w:t>
            </w:r>
          </w:p>
        </w:tc>
      </w:tr>
      <w:tr w:rsidR="009831A7" w14:paraId="6EF47E50" w14:textId="77777777" w:rsidTr="00857907">
        <w:trPr>
          <w:trHeight w:val="93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8BBC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5.2 绿色运营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8B6D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D686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提出节能减排、垃圾分类等环保措施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AB2B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环保实施方案</w:t>
            </w:r>
          </w:p>
        </w:tc>
      </w:tr>
      <w:tr w:rsidR="009831A7" w14:paraId="5B2CBEA8" w14:textId="77777777" w:rsidTr="00857907">
        <w:trPr>
          <w:trHeight w:val="928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C045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5.3 数字化应用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DE9F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1分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6583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运用智慧管理系统提升服务效率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0DB5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</w:rPr>
              <w:t>数字化方案说明</w:t>
            </w:r>
          </w:p>
        </w:tc>
      </w:tr>
      <w:tr w:rsidR="009831A7" w14:paraId="1C87DF9C" w14:textId="77777777" w:rsidTr="00857907">
        <w:trPr>
          <w:trHeight w:val="387"/>
        </w:trPr>
        <w:tc>
          <w:tcPr>
            <w:tcW w:w="173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0E11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</w:rPr>
              <w:t>总分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69C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</w:rPr>
              <w:t>100分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E936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B747" w14:textId="77777777" w:rsidR="009831A7" w:rsidRDefault="009831A7" w:rsidP="00857907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</w:tbl>
    <w:p w14:paraId="69AEECE5" w14:textId="77777777" w:rsidR="00FA3CB5" w:rsidRDefault="00FA3CB5">
      <w:pPr>
        <w:rPr>
          <w:rFonts w:hint="eastAsia"/>
        </w:rPr>
      </w:pPr>
    </w:p>
    <w:sectPr w:rsidR="00FA3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A3E7"/>
    <w:multiLevelType w:val="singleLevel"/>
    <w:tmpl w:val="159DA3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1744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A7"/>
    <w:rsid w:val="00153069"/>
    <w:rsid w:val="00785F15"/>
    <w:rsid w:val="009831A7"/>
    <w:rsid w:val="00C82E73"/>
    <w:rsid w:val="00EF0D5D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ACCA"/>
  <w15:chartTrackingRefBased/>
  <w15:docId w15:val="{0F913BDF-66F5-49A4-B1FE-51122084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A7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1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1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1A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1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1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1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1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1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1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1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1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1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31A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autoRedefine/>
    <w:qFormat/>
    <w:rsid w:val="009831A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1</cp:revision>
  <dcterms:created xsi:type="dcterms:W3CDTF">2026-03-09T08:53:00Z</dcterms:created>
  <dcterms:modified xsi:type="dcterms:W3CDTF">2026-03-09T08:53:00Z</dcterms:modified>
</cp:coreProperties>
</file>